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11F4" w14:textId="4BAF925F" w:rsidR="001018F8" w:rsidRDefault="001018F8">
      <w:r w:rsidRPr="001018F8">
        <w:t>Supplementary figure B</w:t>
      </w:r>
      <w:r>
        <w:t xml:space="preserve">. </w:t>
      </w:r>
      <w:r w:rsidRPr="001018F8">
        <w:t>Overall survival according to the treatment modality after excluding patients with 90-day mortality of most definitive primary site surgery after propensity score matching.</w:t>
      </w:r>
      <w:bookmarkStart w:id="0" w:name="_GoBack"/>
      <w:bookmarkEnd w:id="0"/>
    </w:p>
    <w:p w14:paraId="68B4BE2F" w14:textId="77777777" w:rsidR="001018F8" w:rsidRDefault="001018F8"/>
    <w:p w14:paraId="56CCF099" w14:textId="73E9BAEB" w:rsidR="00A964B5" w:rsidRDefault="00C17642">
      <w:r>
        <w:rPr>
          <w:noProof/>
          <w:lang w:val="en-GB" w:eastAsia="en-GB"/>
        </w:rPr>
        <w:drawing>
          <wp:inline distT="0" distB="0" distL="0" distR="0" wp14:anchorId="174A8831" wp14:editId="4B5E9FDE">
            <wp:extent cx="5943600" cy="3760470"/>
            <wp:effectExtent l="0" t="0" r="0" b="0"/>
            <wp:docPr id="7" name="Picture 7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6"/>
    <w:rsid w:val="001018F8"/>
    <w:rsid w:val="00213210"/>
    <w:rsid w:val="00467C41"/>
    <w:rsid w:val="00696CA8"/>
    <w:rsid w:val="00736476"/>
    <w:rsid w:val="00A964B5"/>
    <w:rsid w:val="00C17642"/>
    <w:rsid w:val="00CE3B88"/>
    <w:rsid w:val="00EB6513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82F2"/>
  <w15:chartTrackingRefBased/>
  <w15:docId w15:val="{3345D99F-21AB-5747-8759-CDF6174B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Laura Dormer</cp:lastModifiedBy>
  <cp:revision>3</cp:revision>
  <dcterms:created xsi:type="dcterms:W3CDTF">2021-03-22T18:11:00Z</dcterms:created>
  <dcterms:modified xsi:type="dcterms:W3CDTF">2022-01-05T09:18:00Z</dcterms:modified>
</cp:coreProperties>
</file>