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23431" w14:textId="77777777" w:rsidR="00DA5A61" w:rsidRPr="006E779E" w:rsidRDefault="00DA5A61" w:rsidP="00DA5A61">
      <w:pPr>
        <w:pStyle w:val="Heading2"/>
        <w:spacing w:before="0" w:after="0" w:line="360" w:lineRule="auto"/>
      </w:pPr>
      <w:r w:rsidRPr="006E779E">
        <w:t>Supplementary Tables and Figures</w:t>
      </w:r>
    </w:p>
    <w:p w14:paraId="7C8900CE" w14:textId="77777777" w:rsidR="00DA5A61" w:rsidRDefault="00DA5A61" w:rsidP="00DA5A61">
      <w:pPr>
        <w:spacing w:after="0"/>
        <w:rPr>
          <w:b/>
          <w:bCs/>
        </w:rPr>
      </w:pPr>
    </w:p>
    <w:p w14:paraId="2EF0EA34" w14:textId="77777777" w:rsidR="00DA5A61" w:rsidRDefault="00DA5A61" w:rsidP="00DA5A61">
      <w:pPr>
        <w:spacing w:after="0"/>
      </w:pPr>
      <w:r w:rsidRPr="002B6786">
        <w:rPr>
          <w:b/>
          <w:bCs/>
        </w:rPr>
        <w:t>Table</w:t>
      </w:r>
      <w:r w:rsidRPr="006E779E">
        <w:rPr>
          <w:b/>
          <w:bCs/>
        </w:rPr>
        <w:t xml:space="preserve"> S1. </w:t>
      </w:r>
      <w:r w:rsidRPr="006E779E">
        <w:t xml:space="preserve">Patient </w:t>
      </w:r>
      <w:r>
        <w:t>a</w:t>
      </w:r>
      <w:r w:rsidRPr="006E779E">
        <w:t>ttrition</w:t>
      </w:r>
    </w:p>
    <w:p w14:paraId="6B55A108" w14:textId="77777777" w:rsidR="00DA5A61" w:rsidRDefault="00DA5A61" w:rsidP="00DA5A61">
      <w:pPr>
        <w:spacing w:after="0"/>
      </w:pPr>
    </w:p>
    <w:p w14:paraId="4F0FAF6F" w14:textId="77777777" w:rsidR="00DA5A61" w:rsidRPr="006E779E" w:rsidRDefault="00DA5A61" w:rsidP="00DA5A61">
      <w:pPr>
        <w:spacing w:after="0"/>
      </w:pPr>
      <w:r w:rsidRPr="002B6786">
        <w:rPr>
          <w:b/>
          <w:bCs/>
          <w:caps/>
        </w:rPr>
        <w:t>T</w:t>
      </w:r>
      <w:r w:rsidRPr="002B6786">
        <w:rPr>
          <w:b/>
          <w:bCs/>
        </w:rPr>
        <w:t>able</w:t>
      </w:r>
      <w:r w:rsidRPr="006E779E">
        <w:rPr>
          <w:b/>
          <w:bCs/>
        </w:rPr>
        <w:t xml:space="preserve"> S2</w:t>
      </w:r>
      <w:r w:rsidRPr="006E779E">
        <w:t xml:space="preserve">. Baseline </w:t>
      </w:r>
      <w:r>
        <w:t>cl</w:t>
      </w:r>
      <w:r w:rsidRPr="006E779E">
        <w:t xml:space="preserve">inical </w:t>
      </w:r>
      <w:r>
        <w:t>c</w:t>
      </w:r>
      <w:r w:rsidRPr="006E779E">
        <w:t>haracteristics</w:t>
      </w:r>
    </w:p>
    <w:p w14:paraId="27CA1529" w14:textId="77777777" w:rsidR="00DA5A61" w:rsidRDefault="00DA5A61" w:rsidP="00DA5A61">
      <w:pPr>
        <w:spacing w:after="0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†</w:t>
      </w:r>
      <w:r w:rsidRPr="006E779E">
        <w:rPr>
          <w:sz w:val="20"/>
          <w:szCs w:val="20"/>
        </w:rPr>
        <w:t>Patients</w:t>
      </w:r>
      <w:r>
        <w:rPr>
          <w:sz w:val="20"/>
          <w:szCs w:val="20"/>
        </w:rPr>
        <w:t>’</w:t>
      </w:r>
      <w:r w:rsidRPr="006E779E">
        <w:rPr>
          <w:sz w:val="20"/>
          <w:szCs w:val="20"/>
        </w:rPr>
        <w:t xml:space="preserve"> data are weighted by the inverse of their covariate balanced propensity score; post-weighting sample sizes are sums of patients' inverse probability of treatment weights and are therefore not whole numbers for the </w:t>
      </w:r>
      <w:proofErr w:type="spellStart"/>
      <w:r w:rsidRPr="006E779E">
        <w:rPr>
          <w:sz w:val="20"/>
          <w:szCs w:val="20"/>
        </w:rPr>
        <w:t>lanadelumab</w:t>
      </w:r>
      <w:proofErr w:type="spellEnd"/>
      <w:r w:rsidRPr="006E779E">
        <w:rPr>
          <w:sz w:val="20"/>
          <w:szCs w:val="20"/>
        </w:rPr>
        <w:t xml:space="preserve"> cohort</w:t>
      </w:r>
      <w:r>
        <w:rPr>
          <w:sz w:val="20"/>
          <w:szCs w:val="20"/>
        </w:rPr>
        <w:t>.</w:t>
      </w:r>
    </w:p>
    <w:p w14:paraId="0E9A8596" w14:textId="77777777" w:rsidR="00DA5A61" w:rsidRPr="006E779E" w:rsidRDefault="00DA5A61" w:rsidP="00DA5A61">
      <w:pPr>
        <w:spacing w:after="0"/>
        <w:rPr>
          <w:sz w:val="20"/>
          <w:szCs w:val="20"/>
          <w:vertAlign w:val="superscript"/>
        </w:rPr>
      </w:pPr>
      <w:r w:rsidRPr="00223C89">
        <w:rPr>
          <w:rFonts w:ascii="Arial" w:hAnsi="Arial" w:cs="Arial"/>
          <w:sz w:val="20"/>
          <w:szCs w:val="20"/>
          <w:vertAlign w:val="superscript"/>
        </w:rPr>
        <w:t>‡</w:t>
      </w:r>
      <w:bookmarkStart w:id="0" w:name="_Hlk160014703"/>
      <w:r w:rsidRPr="00223C89">
        <w:rPr>
          <w:i/>
          <w:iCs/>
          <w:sz w:val="20"/>
          <w:szCs w:val="20"/>
        </w:rPr>
        <w:t xml:space="preserve">CPT </w:t>
      </w:r>
      <w:r w:rsidRPr="006E779E">
        <w:rPr>
          <w:sz w:val="20"/>
          <w:szCs w:val="20"/>
        </w:rPr>
        <w:t xml:space="preserve">code defined as surgery by the HCUP using a broad definition, or an </w:t>
      </w:r>
      <w:r w:rsidRPr="00223C89">
        <w:rPr>
          <w:i/>
          <w:iCs/>
          <w:sz w:val="20"/>
          <w:szCs w:val="20"/>
        </w:rPr>
        <w:t>ICD-10</w:t>
      </w:r>
      <w:r w:rsidRPr="006E779E">
        <w:rPr>
          <w:sz w:val="20"/>
          <w:szCs w:val="20"/>
        </w:rPr>
        <w:t xml:space="preserve"> procedure code defined by HCUP as a major or minor diagnostic or therapeutic procedure</w:t>
      </w:r>
      <w:bookmarkEnd w:id="0"/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Arial" w:hAnsi="Arial" w:cs="Arial"/>
          <w:sz w:val="20"/>
          <w:szCs w:val="20"/>
          <w:vertAlign w:val="superscript"/>
        </w:rPr>
        <w:t>§</w:t>
      </w:r>
      <w:r w:rsidRPr="00223C89">
        <w:rPr>
          <w:i/>
          <w:iCs/>
          <w:sz w:val="20"/>
          <w:szCs w:val="20"/>
        </w:rPr>
        <w:t>CPT</w:t>
      </w:r>
      <w:r w:rsidRPr="006E779E">
        <w:rPr>
          <w:sz w:val="20"/>
          <w:szCs w:val="20"/>
        </w:rPr>
        <w:t xml:space="preserve"> code defined as surgery by HCUP using a narrow definition, or an </w:t>
      </w:r>
      <w:r w:rsidRPr="00223C89">
        <w:rPr>
          <w:i/>
          <w:iCs/>
          <w:sz w:val="20"/>
          <w:szCs w:val="20"/>
        </w:rPr>
        <w:t>ICD-10</w:t>
      </w:r>
      <w:r w:rsidRPr="006E779E">
        <w:rPr>
          <w:sz w:val="20"/>
          <w:szCs w:val="20"/>
        </w:rPr>
        <w:t xml:space="preserve"> procedure code defined by HCUP as a major diagnostic or therapeutic procedure.</w:t>
      </w:r>
    </w:p>
    <w:p w14:paraId="59038E1A" w14:textId="77777777" w:rsidR="00DA5A61" w:rsidRPr="006E779E" w:rsidRDefault="00DA5A61" w:rsidP="00DA5A61">
      <w:pPr>
        <w:spacing w:after="0"/>
        <w:rPr>
          <w:sz w:val="20"/>
          <w:szCs w:val="20"/>
        </w:rPr>
      </w:pPr>
      <w:r w:rsidRPr="006E779E">
        <w:rPr>
          <w:sz w:val="20"/>
          <w:szCs w:val="20"/>
        </w:rPr>
        <w:t>ACE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angiotensin-converting enzyme;</w:t>
      </w:r>
      <w:r w:rsidRPr="00223C89">
        <w:rPr>
          <w:i/>
          <w:iCs/>
          <w:sz w:val="20"/>
          <w:szCs w:val="20"/>
        </w:rPr>
        <w:t xml:space="preserve"> CPT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</w:t>
      </w:r>
      <w:r w:rsidRPr="00223C89">
        <w:rPr>
          <w:i/>
          <w:iCs/>
          <w:sz w:val="20"/>
          <w:szCs w:val="20"/>
        </w:rPr>
        <w:t>Current Procedural Terminology</w:t>
      </w:r>
      <w:r w:rsidRPr="006E779E">
        <w:rPr>
          <w:sz w:val="20"/>
          <w:szCs w:val="20"/>
        </w:rPr>
        <w:t>; DCI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Deyo Charlson Comorbidity Index</w:t>
      </w:r>
      <w:r>
        <w:rPr>
          <w:sz w:val="20"/>
          <w:szCs w:val="20"/>
        </w:rPr>
        <w:t xml:space="preserve">; </w:t>
      </w:r>
      <w:r w:rsidRPr="006E779E">
        <w:rPr>
          <w:sz w:val="20"/>
          <w:szCs w:val="20"/>
        </w:rPr>
        <w:t>HAE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hereditary angioedema; HCUP</w:t>
      </w:r>
      <w:r>
        <w:rPr>
          <w:sz w:val="20"/>
          <w:szCs w:val="20"/>
        </w:rPr>
        <w:t xml:space="preserve"> =</w:t>
      </w:r>
      <w:r w:rsidRPr="006E779E">
        <w:rPr>
          <w:sz w:val="20"/>
          <w:szCs w:val="20"/>
        </w:rPr>
        <w:t xml:space="preserve"> </w:t>
      </w:r>
      <w:r>
        <w:rPr>
          <w:sz w:val="20"/>
          <w:szCs w:val="20"/>
        </w:rPr>
        <w:t>h</w:t>
      </w:r>
      <w:r w:rsidRPr="006E779E">
        <w:rPr>
          <w:sz w:val="20"/>
          <w:szCs w:val="20"/>
        </w:rPr>
        <w:t xml:space="preserve">ealthcare cost and utilization project; </w:t>
      </w:r>
      <w:r w:rsidRPr="00AC1B8A">
        <w:rPr>
          <w:i/>
          <w:iCs/>
          <w:sz w:val="20"/>
          <w:szCs w:val="20"/>
        </w:rPr>
        <w:t>ICD-10</w:t>
      </w:r>
      <w:r>
        <w:rPr>
          <w:sz w:val="20"/>
          <w:szCs w:val="20"/>
        </w:rPr>
        <w:t>:</w:t>
      </w:r>
      <w:r w:rsidRPr="00AC1B8A">
        <w:rPr>
          <w:i/>
          <w:iCs/>
          <w:sz w:val="20"/>
          <w:szCs w:val="20"/>
        </w:rPr>
        <w:t xml:space="preserve"> International Classification of Diseases, Tenth Revision</w:t>
      </w:r>
      <w:r w:rsidRPr="006E779E">
        <w:rPr>
          <w:sz w:val="20"/>
          <w:szCs w:val="20"/>
        </w:rPr>
        <w:t>; SD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standard deviation; STD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standardized difference. </w:t>
      </w:r>
      <w:r w:rsidRPr="006E779E">
        <w:rPr>
          <w:sz w:val="20"/>
          <w:szCs w:val="20"/>
          <w:vertAlign w:val="superscript"/>
        </w:rPr>
        <w:t xml:space="preserve"> </w:t>
      </w:r>
    </w:p>
    <w:p w14:paraId="786F67A3" w14:textId="77777777" w:rsidR="00DA5A61" w:rsidRDefault="00DA5A61" w:rsidP="00DA5A61">
      <w:pPr>
        <w:spacing w:after="0"/>
        <w:rPr>
          <w:b/>
          <w:bCs/>
        </w:rPr>
      </w:pPr>
    </w:p>
    <w:p w14:paraId="64E7E381" w14:textId="77777777" w:rsidR="00DA5A61" w:rsidRPr="006E779E" w:rsidRDefault="00DA5A61" w:rsidP="00DA5A61">
      <w:pPr>
        <w:spacing w:after="0"/>
      </w:pPr>
      <w:r w:rsidRPr="002B6786">
        <w:rPr>
          <w:b/>
          <w:bCs/>
        </w:rPr>
        <w:t>Table</w:t>
      </w:r>
      <w:r w:rsidRPr="006E779E">
        <w:rPr>
          <w:b/>
          <w:bCs/>
        </w:rPr>
        <w:t xml:space="preserve"> S3. </w:t>
      </w:r>
      <w:r w:rsidRPr="006E779E">
        <w:t xml:space="preserve">Baseline </w:t>
      </w:r>
      <w:r>
        <w:t>a</w:t>
      </w:r>
      <w:r w:rsidRPr="006E779E">
        <w:t>ll-</w:t>
      </w:r>
      <w:r>
        <w:t>c</w:t>
      </w:r>
      <w:r w:rsidRPr="006E779E">
        <w:t xml:space="preserve">ause </w:t>
      </w:r>
      <w:r>
        <w:t>h</w:t>
      </w:r>
      <w:r w:rsidRPr="006E779E">
        <w:t xml:space="preserve">ealthcare </w:t>
      </w:r>
      <w:r>
        <w:t>u</w:t>
      </w:r>
      <w:r w:rsidRPr="006E779E">
        <w:t>tilization</w:t>
      </w:r>
    </w:p>
    <w:p w14:paraId="2F0FBF7B" w14:textId="77777777" w:rsidR="00DA5A61" w:rsidRPr="006E779E" w:rsidRDefault="00DA5A61" w:rsidP="00DA5A61">
      <w:pPr>
        <w:spacing w:after="0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†</w:t>
      </w:r>
      <w:r w:rsidRPr="006E779E">
        <w:rPr>
          <w:sz w:val="20"/>
          <w:szCs w:val="20"/>
        </w:rPr>
        <w:t xml:space="preserve">Patients' data are weighted by the inverse of their covariate balanced propensity score; post-weighting sample sizes are sums of patients' inverse probability of treatment weights and are therefore not whole numbers for the </w:t>
      </w:r>
      <w:proofErr w:type="spellStart"/>
      <w:r w:rsidRPr="006E779E">
        <w:rPr>
          <w:sz w:val="20"/>
          <w:szCs w:val="20"/>
        </w:rPr>
        <w:t>lanadelumab</w:t>
      </w:r>
      <w:proofErr w:type="spellEnd"/>
      <w:r w:rsidRPr="006E779E">
        <w:rPr>
          <w:sz w:val="20"/>
          <w:szCs w:val="20"/>
        </w:rPr>
        <w:t xml:space="preserve"> cohort.</w:t>
      </w:r>
    </w:p>
    <w:p w14:paraId="0A318F94" w14:textId="77777777" w:rsidR="00DA5A61" w:rsidRDefault="00DA5A61" w:rsidP="00DA5A61">
      <w:pPr>
        <w:spacing w:after="0"/>
        <w:rPr>
          <w:sz w:val="20"/>
          <w:szCs w:val="20"/>
        </w:rPr>
      </w:pPr>
      <w:r w:rsidRPr="006E779E">
        <w:rPr>
          <w:sz w:val="20"/>
          <w:szCs w:val="20"/>
        </w:rPr>
        <w:t>ER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emergency room; SD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standard deviation; STD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standardized difference.</w:t>
      </w:r>
      <w:bookmarkStart w:id="1" w:name="_Hlk160100959"/>
    </w:p>
    <w:p w14:paraId="2A5DD597" w14:textId="77777777" w:rsidR="00DA5A61" w:rsidRDefault="00DA5A61" w:rsidP="00DA5A61">
      <w:pPr>
        <w:spacing w:after="0"/>
        <w:rPr>
          <w:sz w:val="20"/>
          <w:szCs w:val="20"/>
        </w:rPr>
      </w:pPr>
    </w:p>
    <w:p w14:paraId="6CD7DDDD" w14:textId="77777777" w:rsidR="00DA5A61" w:rsidRDefault="00DA5A61" w:rsidP="00DA5A61">
      <w:pPr>
        <w:spacing w:after="0"/>
        <w:rPr>
          <w:sz w:val="20"/>
          <w:szCs w:val="20"/>
        </w:rPr>
      </w:pPr>
    </w:p>
    <w:p w14:paraId="30676996" w14:textId="77777777" w:rsidR="00DA5A61" w:rsidRDefault="00DA5A61" w:rsidP="00DA5A61">
      <w:pPr>
        <w:spacing w:after="0"/>
      </w:pPr>
      <w:r w:rsidRPr="002B6786">
        <w:rPr>
          <w:b/>
          <w:bCs/>
        </w:rPr>
        <w:t>Figure</w:t>
      </w:r>
      <w:r w:rsidRPr="006E779E">
        <w:rPr>
          <w:b/>
          <w:bCs/>
        </w:rPr>
        <w:t xml:space="preserve"> S1</w:t>
      </w:r>
      <w:r>
        <w:t>.</w:t>
      </w:r>
      <w:r w:rsidRPr="006E779E">
        <w:t xml:space="preserve"> Study </w:t>
      </w:r>
      <w:r>
        <w:t>d</w:t>
      </w:r>
      <w:r w:rsidRPr="006E779E">
        <w:t>esign</w:t>
      </w:r>
    </w:p>
    <w:p w14:paraId="0A4A748A" w14:textId="77777777" w:rsidR="00DA5A61" w:rsidRDefault="00DA5A61" w:rsidP="00DA5A61">
      <w:pPr>
        <w:spacing w:after="0"/>
        <w:rPr>
          <w:sz w:val="20"/>
          <w:szCs w:val="20"/>
        </w:rPr>
      </w:pPr>
      <w:r w:rsidRPr="006E779E">
        <w:rPr>
          <w:sz w:val="20"/>
          <w:szCs w:val="20"/>
        </w:rPr>
        <w:t>HCRU</w:t>
      </w:r>
      <w:r>
        <w:rPr>
          <w:sz w:val="20"/>
          <w:szCs w:val="20"/>
        </w:rPr>
        <w:t xml:space="preserve">: </w:t>
      </w:r>
      <w:r w:rsidRPr="006E779E">
        <w:rPr>
          <w:sz w:val="20"/>
          <w:szCs w:val="20"/>
        </w:rPr>
        <w:t>healthcare resource use.</w:t>
      </w:r>
    </w:p>
    <w:p w14:paraId="65658BD3" w14:textId="77777777" w:rsidR="00DA5A61" w:rsidRDefault="00DA5A61" w:rsidP="00DA5A61">
      <w:pPr>
        <w:spacing w:after="0"/>
        <w:rPr>
          <w:b/>
          <w:bCs/>
        </w:rPr>
      </w:pPr>
    </w:p>
    <w:p w14:paraId="03B2189D" w14:textId="77777777" w:rsidR="00DA5A61" w:rsidRPr="006E779E" w:rsidRDefault="00DA5A61" w:rsidP="00DA5A61">
      <w:pPr>
        <w:spacing w:after="0"/>
      </w:pPr>
      <w:r w:rsidRPr="002B6786">
        <w:rPr>
          <w:b/>
          <w:bCs/>
        </w:rPr>
        <w:t>Figure</w:t>
      </w:r>
      <w:r w:rsidRPr="006E779E">
        <w:rPr>
          <w:b/>
          <w:bCs/>
        </w:rPr>
        <w:t xml:space="preserve"> S2.</w:t>
      </w:r>
      <w:r w:rsidRPr="006E779E">
        <w:t xml:space="preserve"> Total </w:t>
      </w:r>
      <w:r>
        <w:t>h</w:t>
      </w:r>
      <w:r w:rsidRPr="006E779E">
        <w:t xml:space="preserve">ealthcare </w:t>
      </w:r>
      <w:r>
        <w:t>c</w:t>
      </w:r>
      <w:r w:rsidRPr="006E779E">
        <w:t xml:space="preserve">osts </w:t>
      </w:r>
      <w:r>
        <w:t>d</w:t>
      </w:r>
      <w:r w:rsidRPr="006E779E">
        <w:t xml:space="preserve">uring </w:t>
      </w:r>
      <w:r>
        <w:t>f</w:t>
      </w:r>
      <w:r w:rsidRPr="006E779E">
        <w:t>ollow-up</w:t>
      </w:r>
      <w:bookmarkEnd w:id="1"/>
      <w:r w:rsidRPr="006E779E">
        <w:t xml:space="preserve"> (</w:t>
      </w:r>
      <w:r>
        <w:t>w</w:t>
      </w:r>
      <w:r w:rsidRPr="006E779E">
        <w:t>eighted)</w:t>
      </w:r>
    </w:p>
    <w:p w14:paraId="6266F548" w14:textId="77777777" w:rsidR="00DA5A61" w:rsidRPr="002C07B9" w:rsidRDefault="00DA5A61" w:rsidP="00DA5A61">
      <w:pPr>
        <w:pStyle w:val="Caption"/>
        <w:spacing w:after="0" w:line="360" w:lineRule="auto"/>
        <w:rPr>
          <w:rFonts w:asciiTheme="minorHAnsi" w:hAnsiTheme="minorHAnsi" w:cstheme="minorHAnsi"/>
          <w:sz w:val="22"/>
          <w:szCs w:val="20"/>
        </w:rPr>
      </w:pPr>
    </w:p>
    <w:p w14:paraId="22DCB87B" w14:textId="77777777" w:rsidR="00DA5A61" w:rsidRDefault="00DA5A61" w:rsidP="00DA5A61">
      <w:pPr>
        <w:spacing w:after="0"/>
        <w:rPr>
          <w:sz w:val="20"/>
          <w:szCs w:val="20"/>
        </w:rPr>
      </w:pPr>
      <w:bookmarkStart w:id="2" w:name="_Hlk160101046"/>
      <w:r>
        <w:rPr>
          <w:sz w:val="20"/>
          <w:szCs w:val="20"/>
        </w:rPr>
        <w:t>*</w:t>
      </w:r>
      <w:r w:rsidRPr="006E779E">
        <w:rPr>
          <w:sz w:val="20"/>
          <w:szCs w:val="20"/>
        </w:rPr>
        <w:t>p&lt;0.05 v</w:t>
      </w:r>
      <w:r>
        <w:rPr>
          <w:sz w:val="20"/>
          <w:szCs w:val="20"/>
        </w:rPr>
        <w:t>ersu</w:t>
      </w:r>
      <w:r w:rsidRPr="006E779E">
        <w:rPr>
          <w:sz w:val="20"/>
          <w:szCs w:val="20"/>
        </w:rPr>
        <w:t xml:space="preserve">s </w:t>
      </w:r>
      <w:proofErr w:type="spellStart"/>
      <w:r w:rsidRPr="006E779E">
        <w:rPr>
          <w:sz w:val="20"/>
          <w:szCs w:val="20"/>
        </w:rPr>
        <w:t>berotralstat</w:t>
      </w:r>
      <w:proofErr w:type="spellEnd"/>
      <w:r w:rsidRPr="006E779E">
        <w:rPr>
          <w:sz w:val="20"/>
          <w:szCs w:val="20"/>
        </w:rPr>
        <w:t xml:space="preserve"> months 0</w:t>
      </w:r>
      <w:r>
        <w:rPr>
          <w:sz w:val="20"/>
          <w:szCs w:val="20"/>
        </w:rPr>
        <w:t>–</w:t>
      </w:r>
      <w:r w:rsidRPr="006E779E">
        <w:rPr>
          <w:sz w:val="20"/>
          <w:szCs w:val="20"/>
        </w:rPr>
        <w:t xml:space="preserve">6 for </w:t>
      </w:r>
      <w:proofErr w:type="spellStart"/>
      <w:r w:rsidRPr="006E779E">
        <w:rPr>
          <w:sz w:val="20"/>
          <w:szCs w:val="20"/>
        </w:rPr>
        <w:t>lanadelumab</w:t>
      </w:r>
      <w:proofErr w:type="spellEnd"/>
      <w:r w:rsidRPr="006E779E">
        <w:rPr>
          <w:sz w:val="20"/>
          <w:szCs w:val="20"/>
        </w:rPr>
        <w:t xml:space="preserve"> and other </w:t>
      </w:r>
      <w:r>
        <w:rPr>
          <w:sz w:val="20"/>
          <w:szCs w:val="20"/>
        </w:rPr>
        <w:t>LTP</w:t>
      </w:r>
      <w:r w:rsidRPr="006E779E">
        <w:rPr>
          <w:sz w:val="20"/>
          <w:szCs w:val="20"/>
        </w:rPr>
        <w:t>.</w:t>
      </w:r>
    </w:p>
    <w:p w14:paraId="089DFAB0" w14:textId="77777777" w:rsidR="00DA5A61" w:rsidRPr="006E779E" w:rsidRDefault="00DA5A61" w:rsidP="00DA5A61">
      <w:pPr>
        <w:spacing w:after="0"/>
        <w:rPr>
          <w:sz w:val="20"/>
          <w:szCs w:val="20"/>
        </w:rPr>
      </w:pPr>
      <w:r w:rsidRPr="00223C89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6E779E">
        <w:rPr>
          <w:sz w:val="20"/>
          <w:szCs w:val="20"/>
        </w:rPr>
        <w:t>p&lt;0.001 v</w:t>
      </w:r>
      <w:r>
        <w:rPr>
          <w:sz w:val="20"/>
          <w:szCs w:val="20"/>
        </w:rPr>
        <w:t xml:space="preserve">ersus </w:t>
      </w:r>
      <w:proofErr w:type="spellStart"/>
      <w:r w:rsidRPr="006E779E">
        <w:rPr>
          <w:sz w:val="20"/>
          <w:szCs w:val="20"/>
        </w:rPr>
        <w:t>berotralstat</w:t>
      </w:r>
      <w:proofErr w:type="spellEnd"/>
      <w:r w:rsidRPr="006E779E">
        <w:rPr>
          <w:sz w:val="20"/>
          <w:szCs w:val="20"/>
        </w:rPr>
        <w:t xml:space="preserve"> months 0</w:t>
      </w:r>
      <w:r>
        <w:rPr>
          <w:sz w:val="20"/>
          <w:szCs w:val="20"/>
        </w:rPr>
        <w:t>–</w:t>
      </w:r>
      <w:r w:rsidRPr="006E779E">
        <w:rPr>
          <w:sz w:val="20"/>
          <w:szCs w:val="20"/>
        </w:rPr>
        <w:t xml:space="preserve">6 for </w:t>
      </w:r>
      <w:proofErr w:type="spellStart"/>
      <w:r w:rsidRPr="006E779E">
        <w:rPr>
          <w:sz w:val="20"/>
          <w:szCs w:val="20"/>
        </w:rPr>
        <w:t>lanadelumab</w:t>
      </w:r>
      <w:proofErr w:type="spellEnd"/>
      <w:r w:rsidRPr="006E779E">
        <w:rPr>
          <w:sz w:val="20"/>
          <w:szCs w:val="20"/>
        </w:rPr>
        <w:t xml:space="preserve"> but </w:t>
      </w:r>
      <w:proofErr w:type="spellStart"/>
      <w:r w:rsidRPr="006E779E">
        <w:rPr>
          <w:sz w:val="20"/>
          <w:szCs w:val="20"/>
        </w:rPr>
        <w:t>not</w:t>
      </w:r>
      <w:proofErr w:type="spellEnd"/>
      <w:r w:rsidRPr="006E779E">
        <w:rPr>
          <w:sz w:val="20"/>
          <w:szCs w:val="20"/>
        </w:rPr>
        <w:t xml:space="preserve"> other </w:t>
      </w:r>
      <w:r>
        <w:rPr>
          <w:sz w:val="20"/>
          <w:szCs w:val="20"/>
        </w:rPr>
        <w:t>LTP</w:t>
      </w:r>
      <w:r w:rsidRPr="006E779E">
        <w:rPr>
          <w:sz w:val="20"/>
          <w:szCs w:val="20"/>
        </w:rPr>
        <w:t xml:space="preserve">. </w:t>
      </w:r>
      <w:bookmarkEnd w:id="2"/>
    </w:p>
    <w:p w14:paraId="7F9A3CB0" w14:textId="18F9ECC2" w:rsidR="007920EE" w:rsidRDefault="00DA5A61" w:rsidP="00DA5A61">
      <w:pPr>
        <w:spacing w:after="0"/>
      </w:pPr>
      <w:r w:rsidRPr="006E779E">
        <w:rPr>
          <w:sz w:val="20"/>
          <w:szCs w:val="20"/>
        </w:rPr>
        <w:t>HAE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hereditary angioedema</w:t>
      </w:r>
      <w:r>
        <w:rPr>
          <w:sz w:val="20"/>
          <w:szCs w:val="20"/>
        </w:rPr>
        <w:t xml:space="preserve">; </w:t>
      </w:r>
      <w:r w:rsidRPr="006E779E">
        <w:rPr>
          <w:sz w:val="20"/>
          <w:szCs w:val="20"/>
        </w:rPr>
        <w:t>LTP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long-term prophylaxis</w:t>
      </w:r>
      <w:r>
        <w:rPr>
          <w:sz w:val="20"/>
          <w:szCs w:val="20"/>
        </w:rPr>
        <w:t>; ODT: on-demand treatment</w:t>
      </w:r>
      <w:r w:rsidRPr="006E779E">
        <w:rPr>
          <w:sz w:val="20"/>
          <w:szCs w:val="20"/>
        </w:rPr>
        <w:t xml:space="preserve"> STP</w:t>
      </w:r>
      <w:r>
        <w:rPr>
          <w:sz w:val="20"/>
          <w:szCs w:val="20"/>
        </w:rPr>
        <w:t>:</w:t>
      </w:r>
      <w:r w:rsidRPr="006E779E">
        <w:rPr>
          <w:sz w:val="20"/>
          <w:szCs w:val="20"/>
        </w:rPr>
        <w:t xml:space="preserve"> short-term prophylaxis.</w:t>
      </w:r>
    </w:p>
    <w:sectPr w:rsidR="00792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liance No.1 Light">
    <w:altName w:val="Cambria"/>
    <w:panose1 w:val="00000000000000000000"/>
    <w:charset w:val="00"/>
    <w:family w:val="modern"/>
    <w:notTrueType/>
    <w:pitch w:val="variable"/>
    <w:sig w:usb0="A00000EF" w:usb1="5200E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A61"/>
    <w:rsid w:val="0057473E"/>
    <w:rsid w:val="00725450"/>
    <w:rsid w:val="007920EE"/>
    <w:rsid w:val="00DA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42509"/>
  <w15:chartTrackingRefBased/>
  <w15:docId w15:val="{5259839B-38A0-4D59-9D96-EB1216274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A61"/>
    <w:pPr>
      <w:spacing w:line="360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A6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aliases w:val="Cover Subhead"/>
    <w:basedOn w:val="Normal"/>
    <w:next w:val="Normal"/>
    <w:link w:val="Heading2Char"/>
    <w:uiPriority w:val="9"/>
    <w:unhideWhenUsed/>
    <w:qFormat/>
    <w:rsid w:val="00DA5A6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5A6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5A6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5A6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5A6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5A6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5A6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5A6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A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Cover Subhead Char"/>
    <w:basedOn w:val="DefaultParagraphFont"/>
    <w:link w:val="Heading2"/>
    <w:uiPriority w:val="9"/>
    <w:rsid w:val="00DA5A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5A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5A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5A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5A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5A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5A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5A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5A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A5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5A6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A5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5A61"/>
    <w:pPr>
      <w:spacing w:before="160" w:line="278" w:lineRule="auto"/>
      <w:jc w:val="center"/>
    </w:pPr>
    <w:rPr>
      <w:i/>
      <w:iCs/>
      <w:color w:val="404040" w:themeColor="text1" w:themeTint="BF"/>
      <w:kern w:val="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A5A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5A61"/>
    <w:pPr>
      <w:spacing w:line="278" w:lineRule="auto"/>
      <w:ind w:left="720"/>
      <w:contextualSpacing/>
    </w:pPr>
    <w:rPr>
      <w:kern w:val="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A5A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5A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5A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5A61"/>
    <w:rPr>
      <w:b/>
      <w:bCs/>
      <w:smallCaps/>
      <w:color w:val="0F476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DA5A61"/>
    <w:pPr>
      <w:spacing w:after="200" w:line="240" w:lineRule="auto"/>
    </w:pPr>
    <w:rPr>
      <w:rFonts w:ascii="Alliance No.1 Light" w:hAnsi="Alliance No.1 Light"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462741CD-A112-44A3-A602-6AF38E635A98}"/>
</file>

<file path=customXml/itemProps2.xml><?xml version="1.0" encoding="utf-8"?>
<ds:datastoreItem xmlns:ds="http://schemas.openxmlformats.org/officeDocument/2006/customXml" ds:itemID="{856FDA6E-5CD8-40CC-A88B-73E1C7C4D1A6}"/>
</file>

<file path=customXml/itemProps3.xml><?xml version="1.0" encoding="utf-8"?>
<ds:datastoreItem xmlns:ds="http://schemas.openxmlformats.org/officeDocument/2006/customXml" ds:itemID="{1A376E32-3AE5-4412-A389-2A322F4143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Dormer</dc:creator>
  <cp:keywords/>
  <dc:description/>
  <cp:lastModifiedBy>Laura Dormer</cp:lastModifiedBy>
  <cp:revision>1</cp:revision>
  <dcterms:created xsi:type="dcterms:W3CDTF">2025-02-04T14:56:00Z</dcterms:created>
  <dcterms:modified xsi:type="dcterms:W3CDTF">2025-02-04T14:59:00Z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